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9456" w:leader="none"/>
        </w:tabs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Klášterky míří do Mikulova, pozvou na cestu do barokní Evropy </w:t>
      </w:r>
    </w:p>
    <w:p>
      <w:pPr>
        <w:pStyle w:val="Normal"/>
        <w:rPr/>
      </w:pPr>
      <w:r>
        <w:rPr/>
      </w:r>
    </w:p>
    <w:p>
      <w:pPr>
        <w:pStyle w:val="BodyText"/>
        <w:spacing w:before="0" w:after="283"/>
        <w:rPr/>
      </w:pPr>
      <w:r>
        <w:rPr>
          <w:b w:val="false"/>
          <w:bCs w:val="false"/>
          <w:color w:val="auto"/>
          <w:sz w:val="24"/>
        </w:rPr>
        <w:t xml:space="preserve">Letní Mikulov rozezní hudba doby, kdy se nosily paruky, hrálo se na cembala a zpívalo o slávě, lásce i víře. </w:t>
      </w:r>
      <w:r>
        <w:rPr>
          <w:rStyle w:val="Strong"/>
          <w:b/>
          <w:color w:val="auto"/>
          <w:sz w:val="24"/>
        </w:rPr>
        <w:t>Ve čtvrtek 14. srpna rozezí od 19 hodin kostel sv. Václava v Mikulově</w:t>
      </w:r>
      <w:r>
        <w:rPr>
          <w:b w:val="false"/>
          <w:bCs w:val="false"/>
          <w:color w:val="auto"/>
          <w:sz w:val="24"/>
        </w:rPr>
        <w:t xml:space="preserve"> barokní hudba. Uskuteřní se zde tradiční koncert v rámci Klášterních hudebních slavností </w:t>
      </w:r>
      <w:r>
        <w:rPr>
          <w:rStyle w:val="Emphasis"/>
          <w:b w:val="false"/>
          <w:bCs w:val="false"/>
          <w:i w:val="false"/>
          <w:iCs w:val="false"/>
          <w:color w:val="auto"/>
          <w:sz w:val="24"/>
        </w:rPr>
        <w:t>Sláva barokní Čechie</w:t>
      </w:r>
      <w:r>
        <w:rPr>
          <w:b w:val="false"/>
          <w:bCs w:val="false"/>
          <w:color w:val="auto"/>
          <w:sz w:val="24"/>
        </w:rPr>
        <w:t>.</w:t>
      </w:r>
    </w:p>
    <w:p>
      <w:pPr>
        <w:pStyle w:val="BodyText"/>
        <w:spacing w:before="0" w:after="283"/>
        <w:rPr/>
      </w:pPr>
      <w:r>
        <w:rPr>
          <w:b w:val="false"/>
          <w:bCs w:val="false"/>
          <w:color w:val="auto"/>
          <w:sz w:val="24"/>
        </w:rPr>
        <w:t xml:space="preserve">Na programu je </w:t>
      </w:r>
      <w:r>
        <w:rPr>
          <w:b w:val="false"/>
          <w:bCs w:val="false"/>
          <w:color w:val="auto"/>
          <w:sz w:val="24"/>
          <w:lang w:val="cs-CZ"/>
        </w:rPr>
        <w:t xml:space="preserve">česká </w:t>
      </w:r>
      <w:r>
        <w:rPr>
          <w:b w:val="false"/>
          <w:bCs w:val="false"/>
          <w:color w:val="auto"/>
          <w:sz w:val="24"/>
        </w:rPr>
        <w:t xml:space="preserve">hudba 17. a 18. století v podání oceňovaného komorního souboru </w:t>
      </w:r>
      <w:r>
        <w:rPr>
          <w:rStyle w:val="Strong"/>
          <w:b/>
          <w:color w:val="auto"/>
          <w:sz w:val="24"/>
        </w:rPr>
        <w:t>Ensemble Fiorello</w:t>
      </w:r>
      <w:r>
        <w:rPr>
          <w:b w:val="false"/>
          <w:bCs w:val="false"/>
          <w:color w:val="auto"/>
          <w:sz w:val="24"/>
        </w:rPr>
        <w:t xml:space="preserve">, který se specializuje na starou hudbu hranou na dobové nástroje. Soubor tvoří pětice vynikajících hudebníků: </w:t>
      </w:r>
      <w:r>
        <w:rPr>
          <w:rStyle w:val="Strong"/>
          <w:b/>
          <w:color w:val="auto"/>
          <w:sz w:val="24"/>
        </w:rPr>
        <w:t>Michala Roubalová (zobcové flétny), Magdalena Malá (housle, viola), Jana Vavřínková (viola), Helena Matyášová (violoncello) a Filip Dvořák (cembalo).</w:t>
      </w:r>
    </w:p>
    <w:p>
      <w:pPr>
        <w:pStyle w:val="BodyText"/>
        <w:spacing w:before="0" w:after="283"/>
        <w:rPr/>
      </w:pPr>
      <w:r>
        <w:rPr>
          <w:b w:val="false"/>
          <w:bCs w:val="false"/>
          <w:color w:val="auto"/>
          <w:sz w:val="24"/>
        </w:rPr>
        <w:t xml:space="preserve">Jako host večera vystoupí </w:t>
      </w:r>
      <w:r>
        <w:rPr>
          <w:rStyle w:val="Strong"/>
          <w:b/>
          <w:color w:val="auto"/>
          <w:sz w:val="24"/>
        </w:rPr>
        <w:t>Stanislava Mihalcová</w:t>
      </w:r>
      <w:r>
        <w:rPr>
          <w:b w:val="false"/>
          <w:bCs w:val="false"/>
          <w:color w:val="auto"/>
          <w:sz w:val="24"/>
        </w:rPr>
        <w:t>, sopranistka s bohatými zkušenostmi z předních evropských pódií, která se  specializuje je právě na barokní hudbu.</w:t>
      </w:r>
    </w:p>
    <w:p>
      <w:pPr>
        <w:pStyle w:val="BodyText"/>
        <w:spacing w:before="0" w:after="283"/>
        <w:rPr/>
      </w:pPr>
      <w:r>
        <w:rPr>
          <w:rStyle w:val="Strong"/>
          <w:b/>
          <w:color w:val="auto"/>
          <w:sz w:val="24"/>
        </w:rPr>
        <w:t>„</w:t>
      </w:r>
      <w:r>
        <w:rPr>
          <w:rStyle w:val="Strong"/>
          <w:b/>
          <w:color w:val="auto"/>
          <w:sz w:val="24"/>
        </w:rPr>
        <w:t xml:space="preserve">Koncert Sláva barokní Čechie nabídne posluchačům díla </w:t>
      </w:r>
      <w:r>
        <w:rPr>
          <w:rStyle w:val="Strong"/>
          <w:b/>
          <w:color w:val="auto"/>
          <w:sz w:val="24"/>
          <w:lang w:val="cs-CZ"/>
        </w:rPr>
        <w:t xml:space="preserve">českých barokních skladatelů, z nichž velká část své umělecké vavříny sklízela v zahraničí. Plánický, Tůma, Gorecký či Zelenka jsou skladatelé s mimořádnou uměleckou hodnotou, přesto našim posluchačům ne úplně známí. </w:t>
      </w:r>
      <w:r>
        <w:rPr>
          <w:rStyle w:val="Strong"/>
          <w:b/>
          <w:color w:val="auto"/>
          <w:sz w:val="24"/>
        </w:rPr>
        <w:t xml:space="preserve"> Ensemble Fiorello patří k těm souborům, které dokážou barokní hudbu nejen precizně provést, ale také skutečně oživit. Ve spojení se sopránem Stanislavy Mihalcové slibuje večer v Mikulově mimořádný umělecký zážitek,“</w:t>
      </w:r>
      <w:r>
        <w:rPr>
          <w:b w:val="false"/>
          <w:bCs w:val="false"/>
          <w:color w:val="auto"/>
          <w:sz w:val="24"/>
        </w:rPr>
        <w:t xml:space="preserve"> pozval na koncert </w:t>
      </w:r>
      <w:r>
        <w:rPr>
          <w:rStyle w:val="Strong"/>
          <w:b/>
          <w:color w:val="auto"/>
          <w:sz w:val="24"/>
        </w:rPr>
        <w:t>Roman Janků</w:t>
      </w:r>
      <w:r>
        <w:rPr>
          <w:b w:val="false"/>
          <w:bCs w:val="false"/>
          <w:color w:val="auto"/>
          <w:sz w:val="24"/>
        </w:rPr>
        <w:t>, ředitel Klášterních hudebních slavností.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bookmarkStart w:id="0" w:name="_GoBack"/>
      <w:bookmarkStart w:id="1" w:name="_GoBack"/>
      <w:bookmarkEnd w:id="1"/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Podrobný program Klášterních hudebních slavností je na: </w:t>
      </w:r>
      <w:hyperlink r:id="rId2">
        <w:r>
          <w:rPr>
            <w:rStyle w:val="Hyperlink"/>
            <w:sz w:val="22"/>
            <w:szCs w:val="22"/>
          </w:rPr>
          <w:t>www.klasternihudebnislavnosti.cz/program-2025</w:t>
        </w:r>
      </w:hyperlink>
      <w:r>
        <w:rPr>
          <w:sz w:val="22"/>
          <w:szCs w:val="22"/>
        </w:rPr>
        <w:t xml:space="preserve"> 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Informace o vstupenkách: </w:t>
      </w:r>
      <w:hyperlink r:id="rId3">
        <w:r>
          <w:rPr>
            <w:rStyle w:val="Hyperlink"/>
            <w:sz w:val="22"/>
            <w:szCs w:val="22"/>
          </w:rPr>
          <w:t>https://klasternihudebnislavnosti.cz/vstupenky-2/</w:t>
        </w:r>
      </w:hyperlink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Informace o klubu mecenášů: </w:t>
      </w:r>
      <w:r>
        <w:rPr>
          <w:rStyle w:val="Hyperlink"/>
          <w:sz w:val="22"/>
          <w:szCs w:val="22"/>
        </w:rPr>
        <w:t>https://klasternihudebnislavnosti.cz/klub-mecenasu/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4"/>
      <w:footerReference w:type="default" r:id="rId5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2</w:t>
    </w:r>
    <w:r>
      <w:rPr>
        <w:rFonts w:cs="Nirmala UI" w:ascii="Calibri" w:hAnsi="Calibri"/>
        <w:sz w:val="20"/>
        <w:szCs w:val="20"/>
        <w:lang w:val="cs-CZ"/>
      </w:rPr>
      <w:t>2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" w:customStyle="1">
    <w:name w:val="Nevyřešená zmínka"/>
    <w:uiPriority w:val="99"/>
    <w:semiHidden/>
    <w:unhideWhenUsed/>
    <w:qFormat/>
    <w:rsid w:val="002021e5"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yperlink" Target="https://klasternihudebnislavnosti.cz/vstupenky-2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3517-977C-4379-941A-4A00CC28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LibreOffice/7.6.5.2$Windows_X86_64 LibreOffice_project/38d5f62f85355c192ef5f1dd47c5c0c0c6d6598b</Application>
  <AppVersion>15.0000</AppVersion>
  <Pages>1</Pages>
  <Words>242</Words>
  <Characters>1583</Characters>
  <CharactersWithSpaces>1842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2025-06-22T07:20:00Z</dcterms:created>
  <dc:creator>Roman Janků</dc:creator>
  <dc:description/>
  <dc:language>cs-CZ</dc:language>
  <cp:lastModifiedBy/>
  <cp:lastPrinted>2014-05-22T07:00:00Z</cp:lastPrinted>
  <dcterms:modified xsi:type="dcterms:W3CDTF">2025-06-22T19:05:28Z</dcterms:modified>
  <cp:revision>4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